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31" w:rsidRPr="00BC474D" w:rsidRDefault="00CC2B31" w:rsidP="00CC2B31">
      <w:pPr>
        <w:spacing w:after="0" w:line="240" w:lineRule="auto"/>
        <w:jc w:val="center"/>
        <w:rPr>
          <w:rFonts w:ascii="Times New Roman" w:eastAsia="Times New Roman" w:hAnsi="Times New Roman" w:cs="Times New Roman"/>
          <w:sz w:val="24"/>
          <w:szCs w:val="24"/>
        </w:rPr>
      </w:pPr>
      <w:r w:rsidRPr="00BC474D">
        <w:rPr>
          <w:rFonts w:ascii="Times New Roman" w:eastAsia="Times New Roman" w:hAnsi="Times New Roman" w:cs="Times New Roman"/>
          <w:sz w:val="24"/>
          <w:szCs w:val="24"/>
        </w:rPr>
        <w:t>КРАСНОЯРСКИЙ КРАЙ САЯНСКИЙ РАЙОН</w:t>
      </w:r>
    </w:p>
    <w:p w:rsidR="00CC2B31" w:rsidRDefault="00CC2B31" w:rsidP="00CC2B31">
      <w:pPr>
        <w:spacing w:after="0" w:line="240" w:lineRule="auto"/>
        <w:jc w:val="center"/>
        <w:rPr>
          <w:rFonts w:ascii="Times New Roman" w:hAnsi="Times New Roman"/>
          <w:sz w:val="24"/>
          <w:szCs w:val="24"/>
        </w:rPr>
      </w:pPr>
      <w:r w:rsidRPr="00BC474D">
        <w:rPr>
          <w:rFonts w:ascii="Times New Roman" w:eastAsia="Times New Roman" w:hAnsi="Times New Roman" w:cs="Times New Roman"/>
          <w:sz w:val="24"/>
          <w:szCs w:val="24"/>
        </w:rPr>
        <w:t>ГЛАДКОВСКИЙ СЕЛЬСКИЙ СОВЕТ ДЕПУТАТОВ</w:t>
      </w:r>
    </w:p>
    <w:p w:rsidR="00CC2B31" w:rsidRPr="00BC474D" w:rsidRDefault="00CC2B31" w:rsidP="00CC2B31">
      <w:pPr>
        <w:spacing w:after="0" w:line="240" w:lineRule="auto"/>
        <w:jc w:val="center"/>
        <w:rPr>
          <w:rFonts w:ascii="Times New Roman" w:eastAsia="Times New Roman" w:hAnsi="Times New Roman" w:cs="Times New Roman"/>
          <w:sz w:val="24"/>
          <w:szCs w:val="24"/>
        </w:rPr>
      </w:pPr>
    </w:p>
    <w:p w:rsidR="00CC2B31" w:rsidRPr="00BC474D" w:rsidRDefault="00CC2B31" w:rsidP="00CC2B31">
      <w:pPr>
        <w:spacing w:after="0" w:line="240" w:lineRule="auto"/>
        <w:jc w:val="center"/>
        <w:rPr>
          <w:rFonts w:ascii="Times New Roman" w:eastAsia="Times New Roman" w:hAnsi="Times New Roman" w:cs="Times New Roman"/>
          <w:sz w:val="24"/>
          <w:szCs w:val="24"/>
        </w:rPr>
      </w:pPr>
    </w:p>
    <w:p w:rsidR="00CC2B31" w:rsidRDefault="00CC2B31" w:rsidP="00CC2B31">
      <w:pPr>
        <w:spacing w:after="0" w:line="240" w:lineRule="auto"/>
        <w:jc w:val="center"/>
        <w:rPr>
          <w:rFonts w:ascii="Times New Roman" w:hAnsi="Times New Roman"/>
          <w:sz w:val="24"/>
          <w:szCs w:val="24"/>
        </w:rPr>
      </w:pPr>
      <w:r w:rsidRPr="00BC474D">
        <w:rPr>
          <w:rFonts w:ascii="Times New Roman" w:eastAsia="Times New Roman" w:hAnsi="Times New Roman" w:cs="Times New Roman"/>
          <w:sz w:val="24"/>
          <w:szCs w:val="24"/>
        </w:rPr>
        <w:t>РЕШЕНИЕ</w:t>
      </w:r>
    </w:p>
    <w:p w:rsidR="00CC2B31" w:rsidRPr="00BC474D" w:rsidRDefault="00CC2B31" w:rsidP="00CC2B31">
      <w:pPr>
        <w:spacing w:after="0" w:line="240" w:lineRule="auto"/>
        <w:jc w:val="center"/>
        <w:rPr>
          <w:rFonts w:ascii="Times New Roman" w:eastAsia="Times New Roman" w:hAnsi="Times New Roman" w:cs="Times New Roman"/>
          <w:sz w:val="24"/>
          <w:szCs w:val="24"/>
        </w:rPr>
      </w:pPr>
    </w:p>
    <w:p w:rsidR="00CC2B31" w:rsidRPr="00BC474D" w:rsidRDefault="00CC2B31" w:rsidP="00CC2B31">
      <w:pPr>
        <w:spacing w:after="0" w:line="240" w:lineRule="auto"/>
        <w:rPr>
          <w:rFonts w:ascii="Times New Roman" w:eastAsia="Times New Roman" w:hAnsi="Times New Roman" w:cs="Times New Roman"/>
          <w:sz w:val="24"/>
          <w:szCs w:val="24"/>
        </w:rPr>
      </w:pPr>
      <w:r w:rsidRPr="00BC474D">
        <w:rPr>
          <w:rFonts w:ascii="Times New Roman" w:eastAsia="Times New Roman" w:hAnsi="Times New Roman" w:cs="Times New Roman"/>
          <w:sz w:val="24"/>
          <w:szCs w:val="24"/>
        </w:rPr>
        <w:t xml:space="preserve"> </w:t>
      </w:r>
    </w:p>
    <w:p w:rsidR="00CC2B31" w:rsidRPr="00BC474D" w:rsidRDefault="00D11936" w:rsidP="00CC2B31">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13</w:t>
      </w:r>
      <w:r w:rsidR="00CC2B31" w:rsidRPr="00BC474D">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00CC2B31" w:rsidRPr="00BC474D">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CC2B31" w:rsidRPr="00BC474D">
        <w:rPr>
          <w:rFonts w:ascii="Times New Roman" w:eastAsia="Times New Roman" w:hAnsi="Times New Roman" w:cs="Times New Roman"/>
          <w:sz w:val="24"/>
          <w:szCs w:val="24"/>
        </w:rPr>
        <w:t xml:space="preserve">            </w:t>
      </w:r>
      <w:r w:rsidR="00CC2B31">
        <w:rPr>
          <w:rFonts w:ascii="Times New Roman" w:eastAsia="Times New Roman" w:hAnsi="Times New Roman" w:cs="Times New Roman"/>
          <w:sz w:val="24"/>
          <w:szCs w:val="24"/>
        </w:rPr>
        <w:t xml:space="preserve">   </w:t>
      </w:r>
      <w:r w:rsidR="00CC2B31" w:rsidRPr="00BC474D">
        <w:rPr>
          <w:rFonts w:ascii="Times New Roman" w:eastAsia="Times New Roman" w:hAnsi="Times New Roman" w:cs="Times New Roman"/>
          <w:sz w:val="24"/>
          <w:szCs w:val="24"/>
        </w:rPr>
        <w:t xml:space="preserve"> </w:t>
      </w:r>
      <w:r w:rsidR="00CC2B31">
        <w:rPr>
          <w:rFonts w:ascii="Times New Roman" w:eastAsia="Times New Roman" w:hAnsi="Times New Roman" w:cs="Times New Roman"/>
          <w:sz w:val="24"/>
          <w:szCs w:val="24"/>
        </w:rPr>
        <w:t xml:space="preserve">          </w:t>
      </w:r>
      <w:r w:rsidR="00CC2B31" w:rsidRPr="00BC474D">
        <w:rPr>
          <w:rFonts w:ascii="Times New Roman" w:eastAsia="Times New Roman" w:hAnsi="Times New Roman" w:cs="Times New Roman"/>
          <w:sz w:val="24"/>
          <w:szCs w:val="24"/>
        </w:rPr>
        <w:t xml:space="preserve">                       с. </w:t>
      </w:r>
      <w:proofErr w:type="spellStart"/>
      <w:r w:rsidR="00CC2B31" w:rsidRPr="00BC474D">
        <w:rPr>
          <w:rFonts w:ascii="Times New Roman" w:eastAsia="Times New Roman" w:hAnsi="Times New Roman" w:cs="Times New Roman"/>
          <w:sz w:val="24"/>
          <w:szCs w:val="24"/>
        </w:rPr>
        <w:t>Гладково</w:t>
      </w:r>
      <w:proofErr w:type="spellEnd"/>
      <w:r w:rsidR="00CC2B31" w:rsidRPr="00BC474D">
        <w:rPr>
          <w:rFonts w:ascii="Times New Roman" w:eastAsia="Times New Roman" w:hAnsi="Times New Roman" w:cs="Times New Roman"/>
          <w:sz w:val="24"/>
          <w:szCs w:val="24"/>
        </w:rPr>
        <w:t xml:space="preserve">        </w:t>
      </w:r>
      <w:r w:rsidR="00CC2B31">
        <w:rPr>
          <w:rFonts w:ascii="Times New Roman" w:eastAsia="Times New Roman" w:hAnsi="Times New Roman" w:cs="Times New Roman"/>
          <w:sz w:val="24"/>
          <w:szCs w:val="24"/>
        </w:rPr>
        <w:t xml:space="preserve">       </w:t>
      </w:r>
      <w:r w:rsidR="00CC2B31" w:rsidRPr="00BC474D">
        <w:rPr>
          <w:rFonts w:ascii="Times New Roman" w:eastAsia="Times New Roman" w:hAnsi="Times New Roman" w:cs="Times New Roman"/>
          <w:sz w:val="24"/>
          <w:szCs w:val="24"/>
        </w:rPr>
        <w:t xml:space="preserve">            </w:t>
      </w:r>
      <w:r w:rsidR="00CC2B31">
        <w:rPr>
          <w:rFonts w:ascii="Times New Roman" w:eastAsia="Times New Roman" w:hAnsi="Times New Roman" w:cs="Times New Roman"/>
          <w:sz w:val="24"/>
          <w:szCs w:val="24"/>
        </w:rPr>
        <w:t xml:space="preserve">    </w:t>
      </w:r>
      <w:r w:rsidR="00CC2B31" w:rsidRPr="00BC474D">
        <w:rPr>
          <w:rFonts w:ascii="Times New Roman" w:eastAsia="Times New Roman" w:hAnsi="Times New Roman" w:cs="Times New Roman"/>
          <w:sz w:val="24"/>
          <w:szCs w:val="24"/>
        </w:rPr>
        <w:t xml:space="preserve">                        № </w:t>
      </w:r>
      <w:r>
        <w:rPr>
          <w:rFonts w:ascii="Times New Roman" w:hAnsi="Times New Roman"/>
          <w:sz w:val="24"/>
          <w:szCs w:val="24"/>
        </w:rPr>
        <w:t>29</w:t>
      </w:r>
      <w:r w:rsidR="00CC2B31" w:rsidRPr="00BC474D">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p>
    <w:p w:rsidR="00CC2B31" w:rsidRPr="00BC474D" w:rsidRDefault="00CC2B31" w:rsidP="00CC2B31">
      <w:pPr>
        <w:spacing w:after="0" w:line="240" w:lineRule="auto"/>
        <w:jc w:val="center"/>
        <w:rPr>
          <w:rFonts w:ascii="Times New Roman" w:eastAsia="Times New Roman" w:hAnsi="Times New Roman" w:cs="Times New Roman"/>
          <w:sz w:val="24"/>
          <w:szCs w:val="24"/>
        </w:rPr>
      </w:pPr>
    </w:p>
    <w:p w:rsidR="00CC2B31" w:rsidRPr="00BC474D" w:rsidRDefault="00CC2B31" w:rsidP="00CC2B31">
      <w:pPr>
        <w:spacing w:after="0" w:line="240" w:lineRule="auto"/>
        <w:jc w:val="center"/>
        <w:rPr>
          <w:rFonts w:ascii="Times New Roman" w:eastAsia="Times New Roman" w:hAnsi="Times New Roman" w:cs="Times New Roman"/>
          <w:b/>
          <w:sz w:val="24"/>
          <w:szCs w:val="24"/>
        </w:rPr>
      </w:pPr>
      <w:r w:rsidRPr="00BC474D">
        <w:rPr>
          <w:rFonts w:ascii="Times New Roman" w:eastAsia="Times New Roman" w:hAnsi="Times New Roman" w:cs="Times New Roman"/>
          <w:b/>
          <w:sz w:val="24"/>
          <w:szCs w:val="24"/>
        </w:rPr>
        <w:t>О НАЛОГЕ НА ИМУЩЕСТВО ФИЗИЧЕСКИХ ЛИЦ</w:t>
      </w:r>
    </w:p>
    <w:p w:rsidR="00CC2B31" w:rsidRPr="007B594E" w:rsidRDefault="00CC2B31" w:rsidP="00CC2B31">
      <w:pPr>
        <w:spacing w:after="0"/>
        <w:jc w:val="both"/>
        <w:rPr>
          <w:rFonts w:ascii="Times New Roman" w:eastAsia="Times New Roman" w:hAnsi="Times New Roman" w:cs="Times New Roman"/>
          <w:sz w:val="24"/>
          <w:szCs w:val="24"/>
        </w:rPr>
      </w:pPr>
    </w:p>
    <w:p w:rsidR="00CC2B31" w:rsidRPr="00CC2B31" w:rsidRDefault="00CC2B31" w:rsidP="00CC2B31">
      <w:pPr>
        <w:spacing w:after="0"/>
        <w:ind w:firstLine="708"/>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 xml:space="preserve">Руководствуясь главой 32 Налогового кодекса РФ, Законом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proofErr w:type="spellStart"/>
      <w:r w:rsidRPr="00CC2B31">
        <w:rPr>
          <w:rFonts w:ascii="Times New Roman" w:eastAsia="Times New Roman" w:hAnsi="Times New Roman" w:cs="Times New Roman"/>
          <w:sz w:val="24"/>
          <w:szCs w:val="24"/>
        </w:rPr>
        <w:t>Гладковский</w:t>
      </w:r>
      <w:proofErr w:type="spellEnd"/>
      <w:r w:rsidRPr="00CC2B31">
        <w:rPr>
          <w:rFonts w:ascii="Times New Roman" w:eastAsia="Times New Roman" w:hAnsi="Times New Roman" w:cs="Times New Roman"/>
          <w:sz w:val="24"/>
          <w:szCs w:val="24"/>
        </w:rPr>
        <w:t xml:space="preserve"> сельсовет, </w:t>
      </w:r>
      <w:proofErr w:type="spellStart"/>
      <w:r w:rsidRPr="00CC2B31">
        <w:rPr>
          <w:rFonts w:ascii="Times New Roman" w:eastAsia="Times New Roman" w:hAnsi="Times New Roman" w:cs="Times New Roman"/>
          <w:sz w:val="24"/>
          <w:szCs w:val="24"/>
        </w:rPr>
        <w:t>Гладковский</w:t>
      </w:r>
      <w:proofErr w:type="spellEnd"/>
      <w:r w:rsidRPr="00CC2B31">
        <w:rPr>
          <w:rFonts w:ascii="Times New Roman" w:eastAsia="Times New Roman" w:hAnsi="Times New Roman" w:cs="Times New Roman"/>
          <w:sz w:val="24"/>
          <w:szCs w:val="24"/>
        </w:rPr>
        <w:t xml:space="preserve"> сельский Совет депутатов</w:t>
      </w:r>
    </w:p>
    <w:p w:rsidR="00CC2B31" w:rsidRPr="00CC2B31" w:rsidRDefault="00CC2B31" w:rsidP="00CC2B31">
      <w:pPr>
        <w:spacing w:after="0"/>
        <w:jc w:val="center"/>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РЕШИЛ:</w:t>
      </w:r>
    </w:p>
    <w:p w:rsidR="00CC2B31" w:rsidRPr="00CC2B31" w:rsidRDefault="00CC2B31" w:rsidP="00CC2B31">
      <w:pPr>
        <w:tabs>
          <w:tab w:val="left" w:pos="420"/>
          <w:tab w:val="center" w:pos="4718"/>
          <w:tab w:val="left" w:pos="7980"/>
        </w:tabs>
        <w:spacing w:after="0"/>
        <w:jc w:val="center"/>
        <w:rPr>
          <w:rFonts w:ascii="Times New Roman" w:eastAsia="Times New Roman" w:hAnsi="Times New Roman" w:cs="Times New Roman"/>
          <w:b/>
          <w:sz w:val="24"/>
          <w:szCs w:val="24"/>
        </w:rPr>
      </w:pPr>
    </w:p>
    <w:p w:rsidR="00CC2B31" w:rsidRPr="00CC2B31" w:rsidRDefault="00CC2B31" w:rsidP="00643CA6">
      <w:pPr>
        <w:spacing w:after="0"/>
        <w:ind w:firstLine="708"/>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 xml:space="preserve">1. Установить налог на имущество физических лиц на территории муниципального образования </w:t>
      </w:r>
      <w:proofErr w:type="spellStart"/>
      <w:r w:rsidR="0043124C">
        <w:rPr>
          <w:rFonts w:ascii="Times New Roman" w:eastAsia="Times New Roman" w:hAnsi="Times New Roman" w:cs="Times New Roman"/>
          <w:sz w:val="24"/>
          <w:szCs w:val="24"/>
        </w:rPr>
        <w:t>Гладк</w:t>
      </w:r>
      <w:r w:rsidRPr="00CC2B31">
        <w:rPr>
          <w:rFonts w:ascii="Times New Roman" w:eastAsia="Times New Roman" w:hAnsi="Times New Roman" w:cs="Times New Roman"/>
          <w:sz w:val="24"/>
          <w:szCs w:val="24"/>
        </w:rPr>
        <w:t>овского</w:t>
      </w:r>
      <w:proofErr w:type="spellEnd"/>
      <w:r w:rsidRPr="00CC2B31">
        <w:rPr>
          <w:rFonts w:ascii="Times New Roman" w:eastAsia="Times New Roman" w:hAnsi="Times New Roman" w:cs="Times New Roman"/>
          <w:sz w:val="24"/>
          <w:szCs w:val="24"/>
        </w:rPr>
        <w:t xml:space="preserve"> сельсовета с 01.01.2019 г.</w:t>
      </w:r>
    </w:p>
    <w:p w:rsidR="00CC2B31" w:rsidRPr="00CC2B31" w:rsidRDefault="00CC2B31" w:rsidP="00643CA6">
      <w:pPr>
        <w:spacing w:after="0"/>
        <w:ind w:firstLine="708"/>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 xml:space="preserve">2. </w:t>
      </w:r>
      <w:r w:rsidR="0043124C">
        <w:rPr>
          <w:rFonts w:ascii="Times New Roman" w:eastAsia="Times New Roman" w:hAnsi="Times New Roman" w:cs="Times New Roman"/>
          <w:sz w:val="24"/>
          <w:szCs w:val="24"/>
        </w:rPr>
        <w:t>Установить н</w:t>
      </w:r>
      <w:r w:rsidRPr="00CC2B31">
        <w:rPr>
          <w:rFonts w:ascii="Times New Roman" w:eastAsia="Times New Roman" w:hAnsi="Times New Roman" w:cs="Times New Roman"/>
          <w:sz w:val="24"/>
          <w:szCs w:val="24"/>
        </w:rPr>
        <w:t>алоговые ставки в следующих размерах от кадастровой стоимости:</w:t>
      </w:r>
    </w:p>
    <w:p w:rsidR="00CC2B31" w:rsidRPr="00CC2B31" w:rsidRDefault="00CC2B31" w:rsidP="00CC2B31">
      <w:pPr>
        <w:spacing w:after="0"/>
        <w:jc w:val="both"/>
        <w:rPr>
          <w:rFonts w:ascii="Times New Roman" w:eastAsia="Times New Roman" w:hAnsi="Times New Roman" w:cs="Times New Roman"/>
          <w:sz w:val="24"/>
          <w:szCs w:val="24"/>
        </w:rPr>
      </w:pPr>
    </w:p>
    <w:tbl>
      <w:tblPr>
        <w:tblStyle w:val="a3"/>
        <w:tblW w:w="9554" w:type="dxa"/>
        <w:tblLook w:val="01E0"/>
      </w:tblPr>
      <w:tblGrid>
        <w:gridCol w:w="648"/>
        <w:gridCol w:w="7380"/>
        <w:gridCol w:w="1526"/>
      </w:tblGrid>
      <w:tr w:rsidR="00CC2B31" w:rsidRPr="00CC2B31" w:rsidTr="005E3F9E">
        <w:tc>
          <w:tcPr>
            <w:tcW w:w="648" w:type="dxa"/>
          </w:tcPr>
          <w:p w:rsidR="00CC2B31" w:rsidRPr="00D11936" w:rsidRDefault="00CC2B31" w:rsidP="00CC2B31">
            <w:pPr>
              <w:jc w:val="center"/>
            </w:pPr>
            <w:r w:rsidRPr="00D11936">
              <w:t xml:space="preserve">№ </w:t>
            </w:r>
            <w:proofErr w:type="spellStart"/>
            <w:proofErr w:type="gramStart"/>
            <w:r w:rsidRPr="00D11936">
              <w:t>п</w:t>
            </w:r>
            <w:proofErr w:type="spellEnd"/>
            <w:proofErr w:type="gramEnd"/>
            <w:r w:rsidRPr="00D11936">
              <w:t>/</w:t>
            </w:r>
            <w:proofErr w:type="spellStart"/>
            <w:r w:rsidRPr="00D11936">
              <w:t>п</w:t>
            </w:r>
            <w:proofErr w:type="spellEnd"/>
          </w:p>
        </w:tc>
        <w:tc>
          <w:tcPr>
            <w:tcW w:w="7380" w:type="dxa"/>
          </w:tcPr>
          <w:p w:rsidR="00CC2B31" w:rsidRPr="00D11936" w:rsidRDefault="00CC2B31" w:rsidP="00CC2B31">
            <w:pPr>
              <w:jc w:val="center"/>
            </w:pPr>
            <w:r w:rsidRPr="00D11936">
              <w:t>Объект налогообложения</w:t>
            </w:r>
          </w:p>
        </w:tc>
        <w:tc>
          <w:tcPr>
            <w:tcW w:w="1526" w:type="dxa"/>
          </w:tcPr>
          <w:p w:rsidR="00CC2B31" w:rsidRPr="00D11936" w:rsidRDefault="00CC2B31" w:rsidP="00CC2B31">
            <w:pPr>
              <w:jc w:val="center"/>
            </w:pPr>
            <w:r w:rsidRPr="00D11936">
              <w:t>Налоговая ставка                     (в процентах)</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w:t>
            </w:r>
          </w:p>
        </w:tc>
        <w:tc>
          <w:tcPr>
            <w:tcW w:w="7380" w:type="dxa"/>
          </w:tcPr>
          <w:p w:rsidR="00CC2B31" w:rsidRPr="00CC2B31" w:rsidRDefault="00CC2B31" w:rsidP="00CC2B31">
            <w:pPr>
              <w:jc w:val="both"/>
              <w:rPr>
                <w:sz w:val="24"/>
                <w:szCs w:val="24"/>
              </w:rPr>
            </w:pPr>
            <w:r w:rsidRPr="00CC2B31">
              <w:rPr>
                <w:sz w:val="24"/>
                <w:szCs w:val="24"/>
              </w:rPr>
              <w:t>Объект налогообложения, кадастровая стоимость которого не превышает 300 миллионов рублей (включительно):</w:t>
            </w:r>
          </w:p>
        </w:tc>
        <w:tc>
          <w:tcPr>
            <w:tcW w:w="1526" w:type="dxa"/>
          </w:tcPr>
          <w:p w:rsidR="00CC2B31" w:rsidRPr="00CC2B31" w:rsidRDefault="00CC2B31" w:rsidP="00CC2B31">
            <w:pPr>
              <w:jc w:val="both"/>
              <w:rPr>
                <w:sz w:val="24"/>
                <w:szCs w:val="24"/>
              </w:rPr>
            </w:pP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1.1.</w:t>
            </w:r>
          </w:p>
        </w:tc>
        <w:tc>
          <w:tcPr>
            <w:tcW w:w="7380" w:type="dxa"/>
          </w:tcPr>
          <w:p w:rsidR="00CC2B31" w:rsidRPr="00CC2B31" w:rsidRDefault="00CC2B31" w:rsidP="00CC2B31">
            <w:pPr>
              <w:jc w:val="both"/>
              <w:rPr>
                <w:sz w:val="24"/>
                <w:szCs w:val="24"/>
              </w:rPr>
            </w:pPr>
            <w:r w:rsidRPr="00CC2B31">
              <w:rPr>
                <w:sz w:val="24"/>
                <w:szCs w:val="24"/>
              </w:rPr>
              <w:t xml:space="preserve">жилой дом (часть жилого дома); </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1.2.</w:t>
            </w:r>
          </w:p>
        </w:tc>
        <w:tc>
          <w:tcPr>
            <w:tcW w:w="7380" w:type="dxa"/>
          </w:tcPr>
          <w:p w:rsidR="00CC2B31" w:rsidRPr="00CC2B31" w:rsidRDefault="00CC2B31" w:rsidP="00CC2B31">
            <w:pPr>
              <w:jc w:val="both"/>
              <w:rPr>
                <w:sz w:val="24"/>
                <w:szCs w:val="24"/>
              </w:rPr>
            </w:pPr>
            <w:r w:rsidRPr="00CC2B31">
              <w:rPr>
                <w:sz w:val="24"/>
                <w:szCs w:val="24"/>
              </w:rPr>
              <w:t>квартира (часть квартиры);</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1.3.</w:t>
            </w:r>
          </w:p>
        </w:tc>
        <w:tc>
          <w:tcPr>
            <w:tcW w:w="7380" w:type="dxa"/>
          </w:tcPr>
          <w:p w:rsidR="00CC2B31" w:rsidRPr="00CC2B31" w:rsidRDefault="00CC2B31" w:rsidP="00CC2B31">
            <w:pPr>
              <w:jc w:val="both"/>
              <w:rPr>
                <w:sz w:val="24"/>
                <w:szCs w:val="24"/>
              </w:rPr>
            </w:pPr>
            <w:r w:rsidRPr="00CC2B31">
              <w:rPr>
                <w:sz w:val="24"/>
                <w:szCs w:val="24"/>
              </w:rPr>
              <w:t>комната;</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1.4.</w:t>
            </w:r>
          </w:p>
        </w:tc>
        <w:tc>
          <w:tcPr>
            <w:tcW w:w="7380" w:type="dxa"/>
          </w:tcPr>
          <w:p w:rsidR="00CC2B31" w:rsidRPr="00CC2B31" w:rsidRDefault="00CC2B31" w:rsidP="00CC2B31">
            <w:pPr>
              <w:jc w:val="both"/>
              <w:rPr>
                <w:sz w:val="24"/>
                <w:szCs w:val="24"/>
              </w:rPr>
            </w:pPr>
            <w:r w:rsidRPr="00CC2B31">
              <w:rPr>
                <w:sz w:val="24"/>
                <w:szCs w:val="24"/>
              </w:rPr>
              <w:t>объект незавершенного строительства в случае, если проектируемым назначением такого объекта является жилой дом;</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1.5.</w:t>
            </w:r>
          </w:p>
        </w:tc>
        <w:tc>
          <w:tcPr>
            <w:tcW w:w="7380" w:type="dxa"/>
          </w:tcPr>
          <w:p w:rsidR="00CC2B31" w:rsidRPr="00CC2B31" w:rsidRDefault="00CC2B31" w:rsidP="00CC2B31">
            <w:pPr>
              <w:jc w:val="both"/>
              <w:rPr>
                <w:sz w:val="24"/>
                <w:szCs w:val="24"/>
              </w:rPr>
            </w:pPr>
            <w:r w:rsidRPr="00CC2B31">
              <w:rPr>
                <w:sz w:val="24"/>
                <w:szCs w:val="24"/>
              </w:rPr>
              <w:t>единый недвижимый комплекс, в состав которого входит хотя бы один жилой дом;</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1.6.</w:t>
            </w:r>
          </w:p>
        </w:tc>
        <w:tc>
          <w:tcPr>
            <w:tcW w:w="7380" w:type="dxa"/>
          </w:tcPr>
          <w:p w:rsidR="00CC2B31" w:rsidRPr="00CC2B31" w:rsidRDefault="00CC2B31" w:rsidP="00D862B8">
            <w:pPr>
              <w:jc w:val="both"/>
              <w:rPr>
                <w:sz w:val="24"/>
                <w:szCs w:val="24"/>
              </w:rPr>
            </w:pPr>
            <w:r w:rsidRPr="00CC2B31">
              <w:rPr>
                <w:sz w:val="24"/>
                <w:szCs w:val="24"/>
              </w:rPr>
              <w:t xml:space="preserve">гараж, </w:t>
            </w:r>
            <w:proofErr w:type="spellStart"/>
            <w:r w:rsidRPr="00CC2B31">
              <w:rPr>
                <w:sz w:val="24"/>
                <w:szCs w:val="24"/>
              </w:rPr>
              <w:t>машино-место</w:t>
            </w:r>
            <w:proofErr w:type="spellEnd"/>
            <w:r w:rsidR="00D862B8">
              <w:rPr>
                <w:sz w:val="24"/>
                <w:szCs w:val="24"/>
              </w:rPr>
              <w:t>, в том числе расположенные в объектах налогообложения, указанных в подпункте 2 пункта 2 статьи 406 Налогового кодекса Российской Федерации</w:t>
            </w:r>
            <w:r w:rsidR="00D862B8" w:rsidRPr="00CC2B31">
              <w:rPr>
                <w:sz w:val="24"/>
                <w:szCs w:val="24"/>
              </w:rPr>
              <w:t>.</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1.7.</w:t>
            </w:r>
          </w:p>
        </w:tc>
        <w:tc>
          <w:tcPr>
            <w:tcW w:w="7380" w:type="dxa"/>
          </w:tcPr>
          <w:p w:rsidR="00CC2B31" w:rsidRPr="00CC2B31" w:rsidRDefault="00CC2B31" w:rsidP="00CC2B31">
            <w:pPr>
              <w:jc w:val="both"/>
              <w:rPr>
                <w:sz w:val="24"/>
                <w:szCs w:val="24"/>
              </w:rPr>
            </w:pPr>
            <w:r w:rsidRPr="00CC2B31">
              <w:rPr>
                <w:sz w:val="24"/>
                <w:szCs w:val="24"/>
              </w:rPr>
              <w:t xml:space="preserve">хозяйственное строение или сооружение, площадь которого не превышает 50 </w:t>
            </w:r>
            <w:proofErr w:type="gramStart"/>
            <w:r w:rsidRPr="00CC2B31">
              <w:rPr>
                <w:sz w:val="24"/>
                <w:szCs w:val="24"/>
              </w:rPr>
              <w:t>квадратным</w:t>
            </w:r>
            <w:proofErr w:type="gramEnd"/>
            <w:r w:rsidRPr="00CC2B31">
              <w:rPr>
                <w:sz w:val="24"/>
                <w:szCs w:val="24"/>
              </w:rPr>
              <w:t xml:space="preserve">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 </w:t>
            </w:r>
          </w:p>
        </w:tc>
        <w:tc>
          <w:tcPr>
            <w:tcW w:w="1526" w:type="dxa"/>
          </w:tcPr>
          <w:p w:rsidR="00CC2B31" w:rsidRPr="00CC2B31" w:rsidRDefault="00CC2B31" w:rsidP="00CC2B31">
            <w:pPr>
              <w:jc w:val="both"/>
              <w:rPr>
                <w:sz w:val="24"/>
                <w:szCs w:val="24"/>
              </w:rPr>
            </w:pPr>
            <w:r w:rsidRPr="00CC2B31">
              <w:rPr>
                <w:sz w:val="24"/>
                <w:szCs w:val="24"/>
              </w:rPr>
              <w:t>0,1</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2.</w:t>
            </w:r>
          </w:p>
        </w:tc>
        <w:tc>
          <w:tcPr>
            <w:tcW w:w="7380" w:type="dxa"/>
          </w:tcPr>
          <w:p w:rsidR="00CC2B31" w:rsidRPr="00CC2B31" w:rsidRDefault="00CC2B31" w:rsidP="00CC2B31">
            <w:pPr>
              <w:jc w:val="both"/>
              <w:rPr>
                <w:sz w:val="24"/>
                <w:szCs w:val="24"/>
              </w:rPr>
            </w:pPr>
            <w:r w:rsidRPr="00CC2B31">
              <w:rPr>
                <w:sz w:val="24"/>
                <w:szCs w:val="24"/>
              </w:rPr>
              <w:t>объект налогообложения, кадастровая стоимость которого превышает 300 миллионов рублей</w:t>
            </w:r>
          </w:p>
        </w:tc>
        <w:tc>
          <w:tcPr>
            <w:tcW w:w="1526" w:type="dxa"/>
          </w:tcPr>
          <w:p w:rsidR="00CC2B31" w:rsidRPr="00CC2B31" w:rsidRDefault="00CC2B31" w:rsidP="00CC2B31">
            <w:pPr>
              <w:jc w:val="both"/>
              <w:rPr>
                <w:sz w:val="24"/>
                <w:szCs w:val="24"/>
              </w:rPr>
            </w:pPr>
            <w:r w:rsidRPr="00CC2B31">
              <w:rPr>
                <w:sz w:val="24"/>
                <w:szCs w:val="24"/>
              </w:rPr>
              <w:t>2</w:t>
            </w:r>
          </w:p>
        </w:tc>
      </w:tr>
      <w:tr w:rsidR="00CC2B31" w:rsidRPr="00CC2B31" w:rsidTr="005E3F9E">
        <w:tc>
          <w:tcPr>
            <w:tcW w:w="648" w:type="dxa"/>
          </w:tcPr>
          <w:p w:rsidR="00CC2B31" w:rsidRPr="00CC2B31" w:rsidRDefault="00CC2B31" w:rsidP="00CC2B31">
            <w:pPr>
              <w:jc w:val="both"/>
              <w:rPr>
                <w:sz w:val="24"/>
                <w:szCs w:val="24"/>
              </w:rPr>
            </w:pPr>
            <w:r w:rsidRPr="00CC2B31">
              <w:rPr>
                <w:sz w:val="24"/>
                <w:szCs w:val="24"/>
              </w:rPr>
              <w:t>3.</w:t>
            </w:r>
          </w:p>
        </w:tc>
        <w:tc>
          <w:tcPr>
            <w:tcW w:w="7380" w:type="dxa"/>
          </w:tcPr>
          <w:p w:rsidR="00CC2B31" w:rsidRPr="00CC2B31" w:rsidRDefault="00CC2B31" w:rsidP="00CC2B31">
            <w:pPr>
              <w:jc w:val="both"/>
              <w:rPr>
                <w:sz w:val="24"/>
                <w:szCs w:val="24"/>
              </w:rPr>
            </w:pPr>
            <w:r w:rsidRPr="00CC2B31">
              <w:rPr>
                <w:sz w:val="24"/>
                <w:szCs w:val="24"/>
              </w:rPr>
              <w:t xml:space="preserve"> прочие объекты налогообложения</w:t>
            </w:r>
          </w:p>
        </w:tc>
        <w:tc>
          <w:tcPr>
            <w:tcW w:w="1526" w:type="dxa"/>
          </w:tcPr>
          <w:p w:rsidR="00CC2B31" w:rsidRPr="00CC2B31" w:rsidRDefault="00CC2B31" w:rsidP="00CC2B31">
            <w:pPr>
              <w:jc w:val="both"/>
              <w:rPr>
                <w:sz w:val="24"/>
                <w:szCs w:val="24"/>
              </w:rPr>
            </w:pPr>
            <w:r w:rsidRPr="00CC2B31">
              <w:rPr>
                <w:sz w:val="24"/>
                <w:szCs w:val="24"/>
              </w:rPr>
              <w:t>0,5</w:t>
            </w:r>
          </w:p>
        </w:tc>
      </w:tr>
    </w:tbl>
    <w:p w:rsidR="00CC2B31" w:rsidRPr="00CC2B31" w:rsidRDefault="00CC2B31" w:rsidP="00CC2B31">
      <w:pPr>
        <w:spacing w:after="0"/>
        <w:jc w:val="both"/>
        <w:rPr>
          <w:rFonts w:ascii="Times New Roman" w:eastAsia="Times New Roman" w:hAnsi="Times New Roman" w:cs="Times New Roman"/>
          <w:sz w:val="24"/>
          <w:szCs w:val="24"/>
        </w:rPr>
      </w:pPr>
    </w:p>
    <w:p w:rsidR="00CC2B31" w:rsidRPr="00CC2B31" w:rsidRDefault="00CC2B31" w:rsidP="00643CA6">
      <w:pPr>
        <w:tabs>
          <w:tab w:val="left" w:pos="-360"/>
          <w:tab w:val="center" w:pos="4718"/>
        </w:tabs>
        <w:spacing w:after="0"/>
        <w:ind w:firstLine="567"/>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3. Установить, что  право на налоговые льготы, не предусмотренные Налоговым кодексом Российской Федерации, имеют следующие категории налогоплательщиков:</w:t>
      </w:r>
    </w:p>
    <w:p w:rsidR="00CC2B31" w:rsidRPr="00CC2B31" w:rsidRDefault="00CC2B31" w:rsidP="00643CA6">
      <w:pPr>
        <w:tabs>
          <w:tab w:val="left" w:pos="-360"/>
          <w:tab w:val="center" w:pos="4718"/>
        </w:tabs>
        <w:spacing w:after="0"/>
        <w:ind w:firstLine="567"/>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lastRenderedPageBreak/>
        <w:t>1) дети-сироты, оставшиеся без родителей, до достижения ими восемнадцатилетнего возраста;</w:t>
      </w:r>
    </w:p>
    <w:p w:rsidR="00CC2B31" w:rsidRPr="00CC2B31" w:rsidRDefault="00CC2B31" w:rsidP="00643CA6">
      <w:pPr>
        <w:tabs>
          <w:tab w:val="left" w:pos="-360"/>
          <w:tab w:val="center" w:pos="4718"/>
        </w:tabs>
        <w:spacing w:after="0"/>
        <w:ind w:firstLine="567"/>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2) родители (иные законные представители) воспитывающие детей-инвалидов, если ребенок не находится на полном государственном обеспечении;</w:t>
      </w:r>
    </w:p>
    <w:p w:rsidR="00CC2B31" w:rsidRPr="00CC2B31" w:rsidRDefault="00CC2B31" w:rsidP="00643CA6">
      <w:pPr>
        <w:tabs>
          <w:tab w:val="left" w:pos="-360"/>
          <w:tab w:val="center" w:pos="4718"/>
        </w:tabs>
        <w:spacing w:after="0"/>
        <w:ind w:firstLine="567"/>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3) многодетные семьи (семьи, имеющие трех и более детей, не достигших восемнадцатилетнего возраста).</w:t>
      </w:r>
    </w:p>
    <w:p w:rsidR="00CC2B31" w:rsidRPr="00CC2B31" w:rsidRDefault="00CC2B31" w:rsidP="00CC2B31">
      <w:pPr>
        <w:tabs>
          <w:tab w:val="left" w:pos="-360"/>
          <w:tab w:val="center" w:pos="4718"/>
        </w:tabs>
        <w:spacing w:after="0"/>
        <w:ind w:firstLine="360"/>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CC2B31" w:rsidRPr="00CC2B31" w:rsidRDefault="00CC2B31" w:rsidP="00CC2B31">
      <w:pPr>
        <w:tabs>
          <w:tab w:val="left" w:pos="-360"/>
          <w:tab w:val="center" w:pos="4718"/>
        </w:tabs>
        <w:spacing w:after="0"/>
        <w:ind w:firstLine="360"/>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 xml:space="preserve"> При определении подлежащей уплате налогоплательщиком суммы налога налоговая льгота предоставляется </w:t>
      </w:r>
      <w:proofErr w:type="gramStart"/>
      <w:r w:rsidRPr="00CC2B31">
        <w:rPr>
          <w:rFonts w:ascii="Times New Roman" w:eastAsia="Times New Roman" w:hAnsi="Times New Roman" w:cs="Times New Roman"/>
          <w:sz w:val="24"/>
          <w:szCs w:val="24"/>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CC2B31">
        <w:rPr>
          <w:rFonts w:ascii="Times New Roman" w:eastAsia="Times New Roman" w:hAnsi="Times New Roman" w:cs="Times New Roman"/>
          <w:sz w:val="24"/>
          <w:szCs w:val="24"/>
        </w:rPr>
        <w:t xml:space="preserve"> налоговых льгот.</w:t>
      </w:r>
    </w:p>
    <w:p w:rsidR="00CC2B31" w:rsidRPr="00CC2B31" w:rsidRDefault="00CC2B31" w:rsidP="00CC2B31">
      <w:pPr>
        <w:tabs>
          <w:tab w:val="left" w:pos="-360"/>
          <w:tab w:val="center" w:pos="4718"/>
        </w:tabs>
        <w:spacing w:after="0"/>
        <w:ind w:firstLine="360"/>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Налоговая льгота предоставляется в отношении следующих видов объектов налогообложения:</w:t>
      </w:r>
    </w:p>
    <w:p w:rsidR="00CC2B31" w:rsidRPr="00CC2B31" w:rsidRDefault="00CC2B31" w:rsidP="00CC2B31">
      <w:pPr>
        <w:tabs>
          <w:tab w:val="left" w:pos="-360"/>
          <w:tab w:val="center" w:pos="4718"/>
        </w:tabs>
        <w:spacing w:after="0"/>
        <w:ind w:firstLine="360"/>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квартира, часть квартиры или комната;</w:t>
      </w:r>
    </w:p>
    <w:p w:rsidR="00CC2B31" w:rsidRPr="00CC2B31" w:rsidRDefault="00CC2B31" w:rsidP="00CC2B31">
      <w:pPr>
        <w:tabs>
          <w:tab w:val="left" w:pos="-360"/>
          <w:tab w:val="center" w:pos="4718"/>
        </w:tabs>
        <w:spacing w:after="0"/>
        <w:ind w:firstLine="360"/>
        <w:jc w:val="both"/>
        <w:rPr>
          <w:rFonts w:ascii="Times New Roman" w:eastAsia="Times New Roman" w:hAnsi="Times New Roman" w:cs="Times New Roman"/>
          <w:sz w:val="24"/>
          <w:szCs w:val="24"/>
        </w:rPr>
      </w:pPr>
      <w:r w:rsidRPr="00CC2B31">
        <w:rPr>
          <w:rFonts w:ascii="Times New Roman" w:eastAsia="Times New Roman" w:hAnsi="Times New Roman" w:cs="Times New Roman"/>
          <w:sz w:val="24"/>
          <w:szCs w:val="24"/>
        </w:rPr>
        <w:t>жилой дом или часть жилого дома;</w:t>
      </w:r>
    </w:p>
    <w:p w:rsidR="00CC2B31" w:rsidRPr="00CC2B31" w:rsidRDefault="00395C73" w:rsidP="00CC2B31">
      <w:pPr>
        <w:tabs>
          <w:tab w:val="left" w:pos="-360"/>
          <w:tab w:val="center" w:pos="4718"/>
        </w:tabs>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гараж или </w:t>
      </w:r>
      <w:proofErr w:type="spellStart"/>
      <w:r>
        <w:rPr>
          <w:rFonts w:ascii="Times New Roman" w:eastAsia="Times New Roman" w:hAnsi="Times New Roman" w:cs="Times New Roman"/>
          <w:sz w:val="24"/>
          <w:szCs w:val="24"/>
        </w:rPr>
        <w:t>машино-место</w:t>
      </w:r>
      <w:proofErr w:type="spellEnd"/>
      <w:r>
        <w:rPr>
          <w:rFonts w:ascii="Times New Roman" w:eastAsia="Times New Roman" w:hAnsi="Times New Roman" w:cs="Times New Roman"/>
          <w:sz w:val="24"/>
          <w:szCs w:val="24"/>
        </w:rPr>
        <w:t xml:space="preserve">. </w:t>
      </w:r>
    </w:p>
    <w:p w:rsidR="00CC2B31" w:rsidRPr="00450AE3" w:rsidRDefault="00CC2B31" w:rsidP="00643CA6">
      <w:pPr>
        <w:spacing w:after="0" w:line="240" w:lineRule="auto"/>
        <w:ind w:firstLine="567"/>
        <w:jc w:val="both"/>
        <w:rPr>
          <w:rFonts w:ascii="Arial" w:eastAsia="Times New Roman" w:hAnsi="Arial" w:cs="Arial"/>
        </w:rPr>
      </w:pPr>
      <w:r w:rsidRPr="005F10E5">
        <w:rPr>
          <w:rFonts w:ascii="Times New Roman" w:eastAsia="Times New Roman" w:hAnsi="Times New Roman" w:cs="Times New Roman"/>
          <w:sz w:val="24"/>
          <w:szCs w:val="24"/>
        </w:rPr>
        <w:t xml:space="preserve">4. Решение </w:t>
      </w:r>
      <w:r w:rsidR="005F10E5" w:rsidRPr="005F10E5">
        <w:rPr>
          <w:rFonts w:ascii="Times New Roman" w:eastAsia="Times New Roman" w:hAnsi="Times New Roman" w:cs="Times New Roman"/>
          <w:sz w:val="24"/>
          <w:szCs w:val="24"/>
        </w:rPr>
        <w:t>от 30.05.2017 № 09-28 «</w:t>
      </w:r>
      <w:r w:rsidR="005F10E5" w:rsidRPr="005F10E5">
        <w:rPr>
          <w:rFonts w:ascii="Times New Roman" w:hAnsi="Times New Roman"/>
          <w:sz w:val="24"/>
          <w:szCs w:val="24"/>
        </w:rPr>
        <w:t xml:space="preserve">О </w:t>
      </w:r>
      <w:r w:rsidR="00643CA6">
        <w:rPr>
          <w:rFonts w:ascii="Times New Roman" w:hAnsi="Times New Roman"/>
          <w:sz w:val="24"/>
          <w:szCs w:val="24"/>
        </w:rPr>
        <w:t xml:space="preserve">внесении изменений в решение от 15.11.2016 № 15 «О налоге на имущество физических лиц», решение от 26.11.2018 № 23-74 «О налоге на имущество физических лиц» </w:t>
      </w:r>
      <w:r w:rsidR="00D11936">
        <w:rPr>
          <w:rFonts w:ascii="Times New Roman" w:hAnsi="Times New Roman"/>
          <w:sz w:val="24"/>
          <w:szCs w:val="24"/>
        </w:rPr>
        <w:t xml:space="preserve">- </w:t>
      </w:r>
      <w:r w:rsidR="00643CA6">
        <w:rPr>
          <w:rFonts w:ascii="Times New Roman" w:hAnsi="Times New Roman"/>
          <w:sz w:val="24"/>
          <w:szCs w:val="24"/>
        </w:rPr>
        <w:t>считать утративши</w:t>
      </w:r>
      <w:r w:rsidR="0043124C">
        <w:rPr>
          <w:rFonts w:ascii="Times New Roman" w:hAnsi="Times New Roman"/>
          <w:sz w:val="24"/>
          <w:szCs w:val="24"/>
        </w:rPr>
        <w:t>ми</w:t>
      </w:r>
      <w:r w:rsidR="00643CA6">
        <w:rPr>
          <w:rFonts w:ascii="Times New Roman" w:hAnsi="Times New Roman"/>
          <w:sz w:val="24"/>
          <w:szCs w:val="24"/>
        </w:rPr>
        <w:t xml:space="preserve"> силу.</w:t>
      </w:r>
    </w:p>
    <w:p w:rsidR="009C4833" w:rsidRPr="00C92D89" w:rsidRDefault="009C4833" w:rsidP="009C4833">
      <w:pPr>
        <w:spacing w:after="0"/>
        <w:ind w:firstLine="540"/>
        <w:jc w:val="both"/>
        <w:rPr>
          <w:rFonts w:ascii="Times New Roman" w:hAnsi="Times New Roman"/>
          <w:sz w:val="24"/>
          <w:szCs w:val="24"/>
        </w:rPr>
      </w:pPr>
      <w:r>
        <w:rPr>
          <w:rFonts w:ascii="Times New Roman" w:hAnsi="Times New Roman"/>
          <w:sz w:val="24"/>
          <w:szCs w:val="24"/>
        </w:rPr>
        <w:t>5</w:t>
      </w:r>
      <w:r w:rsidRPr="00C92D89">
        <w:rPr>
          <w:rFonts w:ascii="Times New Roman" w:hAnsi="Times New Roman"/>
          <w:sz w:val="24"/>
          <w:szCs w:val="24"/>
        </w:rPr>
        <w:t xml:space="preserve">. </w:t>
      </w:r>
      <w:proofErr w:type="gramStart"/>
      <w:r w:rsidRPr="00C92D89">
        <w:rPr>
          <w:rFonts w:ascii="Times New Roman" w:hAnsi="Times New Roman"/>
          <w:sz w:val="24"/>
          <w:szCs w:val="24"/>
        </w:rPr>
        <w:t>Контроль за</w:t>
      </w:r>
      <w:proofErr w:type="gramEnd"/>
      <w:r w:rsidRPr="00C92D89">
        <w:rPr>
          <w:rFonts w:ascii="Times New Roman" w:hAnsi="Times New Roman"/>
          <w:sz w:val="24"/>
          <w:szCs w:val="24"/>
        </w:rPr>
        <w:t xml:space="preserve"> исполнением настоящего решения возложить на постоянную комиссию по экономической политике и бюджетному процессу (председатель- Котова Н.Д.).</w:t>
      </w:r>
    </w:p>
    <w:p w:rsidR="009C4833" w:rsidRDefault="009C4833" w:rsidP="00643CA6">
      <w:pPr>
        <w:spacing w:after="0"/>
        <w:ind w:firstLine="567"/>
        <w:jc w:val="both"/>
        <w:rPr>
          <w:rFonts w:ascii="Times New Roman" w:hAnsi="Times New Roman"/>
          <w:sz w:val="24"/>
          <w:szCs w:val="24"/>
        </w:rPr>
      </w:pPr>
      <w:r>
        <w:rPr>
          <w:rFonts w:ascii="Times New Roman" w:hAnsi="Times New Roman"/>
          <w:sz w:val="24"/>
          <w:szCs w:val="24"/>
        </w:rPr>
        <w:t>6</w:t>
      </w:r>
      <w:r w:rsidRPr="00A40891">
        <w:rPr>
          <w:rFonts w:ascii="Times New Roman" w:hAnsi="Times New Roman"/>
          <w:sz w:val="24"/>
          <w:szCs w:val="24"/>
        </w:rPr>
        <w:t xml:space="preserve">. Настоящее решение вступает в силу </w:t>
      </w:r>
      <w:r w:rsidR="005F10E5">
        <w:rPr>
          <w:rFonts w:ascii="Times New Roman" w:hAnsi="Times New Roman"/>
          <w:sz w:val="24"/>
          <w:szCs w:val="24"/>
        </w:rPr>
        <w:t xml:space="preserve">не ранее чем по истечении одного месяца со дня </w:t>
      </w:r>
      <w:r w:rsidRPr="00A40891">
        <w:rPr>
          <w:rFonts w:ascii="Times New Roman" w:hAnsi="Times New Roman"/>
          <w:sz w:val="24"/>
          <w:szCs w:val="24"/>
        </w:rPr>
        <w:t xml:space="preserve">официального опубликования в «Информационном листке» </w:t>
      </w:r>
      <w:proofErr w:type="spellStart"/>
      <w:r w:rsidRPr="00A40891">
        <w:rPr>
          <w:rFonts w:ascii="Times New Roman" w:hAnsi="Times New Roman"/>
          <w:sz w:val="24"/>
          <w:szCs w:val="24"/>
        </w:rPr>
        <w:t>Гладковского</w:t>
      </w:r>
      <w:proofErr w:type="spellEnd"/>
      <w:r w:rsidRPr="00A40891">
        <w:rPr>
          <w:rFonts w:ascii="Times New Roman" w:hAnsi="Times New Roman"/>
          <w:sz w:val="24"/>
          <w:szCs w:val="24"/>
        </w:rPr>
        <w:t xml:space="preserve"> сельсовета</w:t>
      </w:r>
      <w:r w:rsidR="005F10E5">
        <w:rPr>
          <w:rFonts w:ascii="Times New Roman" w:hAnsi="Times New Roman"/>
          <w:sz w:val="24"/>
          <w:szCs w:val="24"/>
        </w:rPr>
        <w:t xml:space="preserve"> и не ранее 1-го числа очередного налогового периода</w:t>
      </w:r>
      <w:r w:rsidRPr="00A40891">
        <w:rPr>
          <w:rFonts w:ascii="Times New Roman" w:hAnsi="Times New Roman"/>
          <w:sz w:val="24"/>
          <w:szCs w:val="24"/>
        </w:rPr>
        <w:t>, подлежит размещению на официальном портале Саянского района в информационно - телекоммуникационной сети Интернет.</w:t>
      </w:r>
    </w:p>
    <w:p w:rsidR="009C4833" w:rsidRDefault="009C4833" w:rsidP="009C4833">
      <w:pPr>
        <w:spacing w:after="0"/>
        <w:ind w:firstLine="720"/>
        <w:jc w:val="both"/>
        <w:rPr>
          <w:rFonts w:ascii="Times New Roman" w:hAnsi="Times New Roman"/>
          <w:sz w:val="24"/>
          <w:szCs w:val="24"/>
        </w:rPr>
      </w:pPr>
    </w:p>
    <w:p w:rsidR="009C4833" w:rsidRDefault="009C4833" w:rsidP="009C4833">
      <w:pPr>
        <w:spacing w:after="0"/>
        <w:ind w:firstLine="720"/>
        <w:jc w:val="both"/>
        <w:rPr>
          <w:rFonts w:ascii="Times New Roman" w:hAnsi="Times New Roman"/>
          <w:sz w:val="24"/>
          <w:szCs w:val="24"/>
        </w:rPr>
      </w:pPr>
    </w:p>
    <w:p w:rsidR="00D11936" w:rsidRDefault="00D11936" w:rsidP="009C4833">
      <w:pPr>
        <w:spacing w:after="0"/>
        <w:ind w:firstLine="720"/>
        <w:jc w:val="both"/>
        <w:rPr>
          <w:rFonts w:ascii="Times New Roman" w:hAnsi="Times New Roman"/>
          <w:sz w:val="24"/>
          <w:szCs w:val="24"/>
        </w:rPr>
      </w:pPr>
    </w:p>
    <w:p w:rsidR="00D11936" w:rsidRDefault="00D11936" w:rsidP="009C4833">
      <w:pPr>
        <w:spacing w:after="0"/>
        <w:ind w:firstLine="720"/>
        <w:jc w:val="both"/>
        <w:rPr>
          <w:rFonts w:ascii="Times New Roman" w:hAnsi="Times New Roman"/>
          <w:sz w:val="24"/>
          <w:szCs w:val="24"/>
        </w:rPr>
      </w:pPr>
    </w:p>
    <w:p w:rsidR="00D11936" w:rsidRPr="00A40891" w:rsidRDefault="00D11936" w:rsidP="009C4833">
      <w:pPr>
        <w:spacing w:after="0"/>
        <w:ind w:firstLine="720"/>
        <w:jc w:val="both"/>
        <w:rPr>
          <w:rFonts w:ascii="Times New Roman" w:hAnsi="Times New Roman"/>
          <w:sz w:val="24"/>
          <w:szCs w:val="24"/>
        </w:rPr>
      </w:pPr>
    </w:p>
    <w:p w:rsidR="009C4833" w:rsidRPr="00A40891" w:rsidRDefault="009C4833" w:rsidP="009C4833">
      <w:pPr>
        <w:spacing w:after="0"/>
        <w:ind w:firstLine="540"/>
        <w:jc w:val="both"/>
        <w:rPr>
          <w:rFonts w:ascii="Times New Roman" w:hAnsi="Times New Roman"/>
          <w:sz w:val="24"/>
          <w:szCs w:val="24"/>
        </w:rPr>
      </w:pPr>
    </w:p>
    <w:p w:rsidR="009C4833" w:rsidRPr="007B594E" w:rsidRDefault="009C4833" w:rsidP="009C4833">
      <w:pPr>
        <w:spacing w:after="0" w:line="240" w:lineRule="auto"/>
        <w:jc w:val="both"/>
        <w:rPr>
          <w:rFonts w:ascii="Times New Roman" w:hAnsi="Times New Roman"/>
          <w:sz w:val="24"/>
          <w:szCs w:val="24"/>
        </w:rPr>
      </w:pPr>
      <w:r w:rsidRPr="007B594E">
        <w:rPr>
          <w:rFonts w:ascii="Times New Roman" w:hAnsi="Times New Roman"/>
          <w:sz w:val="24"/>
          <w:szCs w:val="24"/>
        </w:rPr>
        <w:t xml:space="preserve">Глава </w:t>
      </w:r>
      <w:proofErr w:type="spellStart"/>
      <w:r w:rsidRPr="007B594E">
        <w:rPr>
          <w:rFonts w:ascii="Times New Roman" w:hAnsi="Times New Roman"/>
          <w:sz w:val="24"/>
          <w:szCs w:val="24"/>
        </w:rPr>
        <w:t>Гладковского</w:t>
      </w:r>
      <w:proofErr w:type="spellEnd"/>
      <w:r w:rsidRPr="007B594E">
        <w:rPr>
          <w:rFonts w:ascii="Times New Roman" w:hAnsi="Times New Roman"/>
          <w:sz w:val="24"/>
          <w:szCs w:val="24"/>
        </w:rPr>
        <w:t xml:space="preserve"> сельсовета,</w:t>
      </w:r>
    </w:p>
    <w:p w:rsidR="009C4833" w:rsidRDefault="009C4833" w:rsidP="009C4833">
      <w:pPr>
        <w:spacing w:after="0" w:line="240" w:lineRule="auto"/>
        <w:jc w:val="both"/>
        <w:rPr>
          <w:rFonts w:ascii="Times New Roman" w:hAnsi="Times New Roman"/>
          <w:sz w:val="24"/>
          <w:szCs w:val="24"/>
        </w:rPr>
      </w:pPr>
      <w:r w:rsidRPr="007B594E">
        <w:rPr>
          <w:rFonts w:ascii="Times New Roman" w:hAnsi="Times New Roman"/>
          <w:sz w:val="24"/>
          <w:szCs w:val="24"/>
        </w:rPr>
        <w:t xml:space="preserve">Председатель сельского Совета депутатов        </w:t>
      </w:r>
      <w:r>
        <w:rPr>
          <w:rFonts w:ascii="Times New Roman" w:hAnsi="Times New Roman"/>
          <w:sz w:val="24"/>
          <w:szCs w:val="24"/>
        </w:rPr>
        <w:t xml:space="preserve">                      </w:t>
      </w:r>
      <w:r w:rsidRPr="007B594E">
        <w:rPr>
          <w:rFonts w:ascii="Times New Roman" w:hAnsi="Times New Roman"/>
          <w:sz w:val="24"/>
          <w:szCs w:val="24"/>
        </w:rPr>
        <w:t xml:space="preserve">                            С.Н. Гришина</w:t>
      </w:r>
    </w:p>
    <w:p w:rsidR="00CC2B31" w:rsidRPr="00450AE3" w:rsidRDefault="00CC2B31" w:rsidP="00CC2B31">
      <w:pPr>
        <w:tabs>
          <w:tab w:val="left" w:pos="-360"/>
          <w:tab w:val="left" w:pos="540"/>
        </w:tabs>
        <w:jc w:val="both"/>
        <w:rPr>
          <w:rFonts w:ascii="Arial" w:eastAsia="Times New Roman" w:hAnsi="Arial" w:cs="Arial"/>
        </w:rPr>
      </w:pPr>
    </w:p>
    <w:p w:rsidR="00545DC1" w:rsidRDefault="00545DC1"/>
    <w:sectPr w:rsidR="00545DC1" w:rsidSect="00CF7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B31"/>
    <w:rsid w:val="002E3282"/>
    <w:rsid w:val="00395C73"/>
    <w:rsid w:val="0043124C"/>
    <w:rsid w:val="00545DC1"/>
    <w:rsid w:val="005F10E5"/>
    <w:rsid w:val="00643CA6"/>
    <w:rsid w:val="006E4CB0"/>
    <w:rsid w:val="009C4833"/>
    <w:rsid w:val="00CC2B31"/>
    <w:rsid w:val="00CF714F"/>
    <w:rsid w:val="00D11936"/>
    <w:rsid w:val="00D8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2019-08-02T06:26:00Z</dcterms:created>
  <dcterms:modified xsi:type="dcterms:W3CDTF">2019-08-14T04:40:00Z</dcterms:modified>
</cp:coreProperties>
</file>